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Одномембранні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органели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цитоплазми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їх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будова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та роль у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клітині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Пригадайте</w:t>
      </w:r>
      <w:proofErr w:type="spellEnd"/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Які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hyperlink r:id="rId4" w:tooltip="Одномембранні органели цитоплазми. Повні уроки" w:history="1">
        <w:proofErr w:type="spellStart"/>
        <w:r>
          <w:rPr>
            <w:rStyle w:val="a4"/>
            <w:rFonts w:ascii="Arial" w:hAnsi="Arial" w:cs="Arial"/>
            <w:b/>
            <w:bCs/>
            <w:i/>
            <w:iCs/>
            <w:color w:val="5A3696"/>
            <w:sz w:val="26"/>
            <w:szCs w:val="26"/>
            <w:u w:val="none"/>
          </w:rPr>
          <w:t>органели</w:t>
        </w:r>
        <w:proofErr w:type="spellEnd"/>
      </w:hyperlink>
      <w:r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характерні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для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клітин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еукарі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от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>ів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?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Що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таке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тургор?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  <w:t xml:space="preserve">До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органел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обмежених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однією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мембраною, належать: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ендоплазматична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сітка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комплекс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лізосоми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вакуолі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Що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таке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ендоплазматична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сітка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?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Ендоплазматична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сітка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система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порожнин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вигляді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мікроскопічних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канальці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їхніх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розширень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обмежених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hyperlink r:id="rId5" w:tooltip="Клітинні мембрани, їх будова та функції. Повні уроки" w:history="1">
        <w:r>
          <w:rPr>
            <w:rStyle w:val="a4"/>
            <w:rFonts w:ascii="Arial" w:hAnsi="Arial" w:cs="Arial"/>
            <w:b/>
            <w:bCs/>
            <w:color w:val="5A3696"/>
            <w:sz w:val="26"/>
            <w:szCs w:val="26"/>
            <w:u w:val="none"/>
          </w:rPr>
          <w:t>мембраною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сполучаються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між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собою.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Розрізняють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два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ізновиди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ендоплазматичної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сітки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зернисту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незернисту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На мембранах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зернистої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ендоплазматичної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сітки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розташовані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рибосоми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а на мембранах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незернистої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рибосом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нема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є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Мембрани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зернистої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ендоплазматичної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сітки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беруть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участь 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формуванні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зовнішньої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оболонки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ядра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період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між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двома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поділами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noProof/>
          <w:color w:val="5A3696"/>
          <w:sz w:val="26"/>
          <w:szCs w:val="26"/>
        </w:rPr>
        <w:drawing>
          <wp:inline distT="0" distB="0" distL="0" distR="0">
            <wp:extent cx="3048000" cy="2990850"/>
            <wp:effectExtent l="19050" t="0" r="0" b="0"/>
            <wp:docPr id="1" name="Рисунок 1" descr="Схема будови ендоплазматичної сітки">
              <a:hlinkClick xmlns:a="http://schemas.openxmlformats.org/drawingml/2006/main" r:id="rId6" tooltip="&quot;Схема будови ендоплазматичної сіт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будови ендоплазматичної сітки">
                      <a:hlinkClick r:id="rId6" tooltip="&quot;Схема будови ендоплазматичної сіт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Схема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будови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ендоплазматичної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с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>ітки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: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1 -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вільні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рибосоми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;</w:t>
      </w:r>
      <w:r>
        <w:rPr>
          <w:rFonts w:ascii="Arial" w:hAnsi="Arial" w:cs="Arial"/>
          <w:i/>
          <w:iCs/>
          <w:color w:val="000000"/>
          <w:sz w:val="26"/>
          <w:szCs w:val="26"/>
        </w:rPr>
        <w:br/>
        <w:t xml:space="preserve">2 -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рибосоми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на мембранах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ендоплазматичної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сітки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;</w:t>
      </w:r>
      <w:r>
        <w:rPr>
          <w:rFonts w:ascii="Arial" w:hAnsi="Arial" w:cs="Arial"/>
          <w:i/>
          <w:iCs/>
          <w:color w:val="000000"/>
          <w:sz w:val="26"/>
          <w:szCs w:val="26"/>
        </w:rPr>
        <w:br/>
        <w:t xml:space="preserve">3 -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порожнини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ендоплазматичної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сітки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;</w:t>
      </w:r>
      <w:r>
        <w:rPr>
          <w:rFonts w:ascii="Arial" w:hAnsi="Arial" w:cs="Arial"/>
          <w:i/>
          <w:iCs/>
          <w:color w:val="000000"/>
          <w:sz w:val="26"/>
          <w:szCs w:val="26"/>
        </w:rPr>
        <w:br/>
        <w:t xml:space="preserve">4 - 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зерниста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ендоплазматична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сітка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;</w:t>
      </w:r>
      <w:r>
        <w:rPr>
          <w:rFonts w:ascii="Arial" w:hAnsi="Arial" w:cs="Arial"/>
          <w:i/>
          <w:iCs/>
          <w:color w:val="000000"/>
          <w:sz w:val="26"/>
          <w:szCs w:val="26"/>
        </w:rPr>
        <w:br/>
        <w:t xml:space="preserve">5 -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незерниста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ендоплазматична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сітка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На мембранах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зернистої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ендоплазматичної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сітки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участю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рибосом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відбувається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біосинтез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білків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Синтезовані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білки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накопичуються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порожнинах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зернистої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ендоплазматичної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сітки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розподіляються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між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ізними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ділянками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або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виводяться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назовні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порожнинах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цієї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органели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білки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набувають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притаманної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їм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просторової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структури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до них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приєднуються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небілкові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частини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тощо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Крім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того, зерниста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ендоплазматична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сітка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бере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участь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у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синтез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компонентів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клітинних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hyperlink r:id="rId8" w:tooltip="Клітинні мембрани, їх будова та функції. Повні уроки" w:history="1">
        <w:r>
          <w:rPr>
            <w:rStyle w:val="a4"/>
            <w:rFonts w:ascii="Arial" w:hAnsi="Arial" w:cs="Arial"/>
            <w:b/>
            <w:bCs/>
            <w:color w:val="5A3696"/>
            <w:sz w:val="26"/>
            <w:szCs w:val="26"/>
            <w:u w:val="none"/>
          </w:rPr>
          <w:t>мембран</w:t>
        </w:r>
      </w:hyperlink>
      <w:r>
        <w:rPr>
          <w:rFonts w:ascii="Arial" w:hAnsi="Arial" w:cs="Arial"/>
          <w:color w:val="000000"/>
          <w:sz w:val="26"/>
          <w:szCs w:val="26"/>
        </w:rPr>
        <w:t>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На мембранах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незернистої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ендоплазматичної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сітки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синтезуються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іди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вуглеводи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гормони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ліпідної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природи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можуть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накопичуватись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її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порожнинах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На них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відбуваються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процеси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обміну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деяких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полісахаридів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наприклад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глікогену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). 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порожнинах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незернистої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ендоплазматичної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сітки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наприклад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клітинах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печінки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накопичуються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знешкоджуються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отруйні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для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організму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сполуки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згодом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виводяться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br/>
        <w:t xml:space="preserve">Яка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будова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і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функції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комплексу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?</w:t>
      </w:r>
    </w:p>
    <w:p w:rsidR="00541E0F" w:rsidRP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Основною структурною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одиницею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комплексу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*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є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купка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плоских цистерн (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м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ішечків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оточених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мембраною.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Поруч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цистернами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розташовані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пухирці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канальці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Цистерни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комплексу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як правило,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полярні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тобто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до одного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полюсів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постійно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ідходять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пухирці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відриваються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ендоплазматичної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сітки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Вони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м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істять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речовини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утворилися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Зливаючись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цистернами комплексу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пухирці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віддають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їм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св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вміст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Одночасно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другого полюса цистерн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відходять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пухирці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різними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речовинами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завдяки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чому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вони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транспортуються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інші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ділянки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виводяться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541E0F">
        <w:rPr>
          <w:rFonts w:ascii="Arial" w:hAnsi="Arial" w:cs="Arial"/>
          <w:color w:val="000000"/>
          <w:sz w:val="26"/>
          <w:szCs w:val="26"/>
        </w:rPr>
        <w:t>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noProof/>
          <w:color w:val="5A3696"/>
          <w:sz w:val="26"/>
          <w:szCs w:val="26"/>
        </w:rPr>
        <w:drawing>
          <wp:inline distT="0" distB="0" distL="0" distR="0">
            <wp:extent cx="3048000" cy="2638425"/>
            <wp:effectExtent l="19050" t="0" r="0" b="0"/>
            <wp:docPr id="2" name="Рисунок 2" descr="Комплекс Гольджі">
              <a:hlinkClick xmlns:a="http://schemas.openxmlformats.org/drawingml/2006/main" r:id="rId9" tooltip="&quot;Комплекс Гольдж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лекс Гольджі">
                      <a:hlinkClick r:id="rId9" tooltip="&quot;Комплекс Гольдж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br/>
        <w:t xml:space="preserve">Комплекс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: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lastRenderedPageBreak/>
        <w:t>1 - трубочки;</w:t>
      </w:r>
      <w:r>
        <w:rPr>
          <w:rFonts w:ascii="Arial" w:hAnsi="Arial" w:cs="Arial"/>
          <w:i/>
          <w:iCs/>
          <w:color w:val="000000"/>
          <w:sz w:val="26"/>
          <w:szCs w:val="26"/>
        </w:rPr>
        <w:br/>
        <w:t xml:space="preserve">2 -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пухирці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;</w:t>
      </w:r>
      <w:r>
        <w:rPr>
          <w:rFonts w:ascii="Arial" w:hAnsi="Arial" w:cs="Arial"/>
          <w:i/>
          <w:iCs/>
          <w:color w:val="000000"/>
          <w:sz w:val="26"/>
          <w:szCs w:val="26"/>
        </w:rPr>
        <w:br/>
        <w:t>3 - стопки цистерн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Комплекс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є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усіх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hyperlink r:id="rId11" w:tooltip="Тема 13. Будова клітини еукаріотів." w:history="1">
        <w:proofErr w:type="spellStart"/>
        <w:r>
          <w:rPr>
            <w:rStyle w:val="a4"/>
            <w:rFonts w:ascii="Arial" w:hAnsi="Arial" w:cs="Arial"/>
            <w:b/>
            <w:bCs/>
            <w:color w:val="5A3696"/>
            <w:sz w:val="26"/>
            <w:szCs w:val="26"/>
            <w:u w:val="none"/>
          </w:rPr>
          <w:t>еукаріотичних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клітинах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але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ізних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організмів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його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будова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може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відрізнятись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Так, 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тинах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рослин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структурні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компоненти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цієї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органели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їхня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кількість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може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сягати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20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більше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відокремлені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один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одного, а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клітинах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інших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організмів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вони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зазвичай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з'єднані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Функції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комплексу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>ізноманітні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Насамперед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цій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органелі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накопичуються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певним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чином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змінюються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деякі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сполуки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наприклад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білки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). Вони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згодом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вигляді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пухирців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ідходять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комплексу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транспортуються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допомогою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мікротру-бочок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У цистернах комплексу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синтезуються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деякі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полісахариди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можуть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сполучатись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білками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що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надійшли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зернистої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ендоплазматичної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с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ітки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рослинних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клітинах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 них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утворюються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фрагменти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целюлозної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ст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інки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а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клітинах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членистоногих 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хітинової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кутикули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Комплекс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бере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участь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утворенні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лізосом</w:t>
      </w:r>
      <w:proofErr w:type="spellEnd"/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541E0F">
        <w:rPr>
          <w:rFonts w:ascii="Arial" w:hAnsi="Arial" w:cs="Arial"/>
          <w:color w:val="000000"/>
          <w:sz w:val="26"/>
          <w:szCs w:val="26"/>
        </w:rPr>
        <w:t>.</w:t>
      </w:r>
      <w:proofErr w:type="spellStart"/>
      <w:proofErr w:type="gramEnd"/>
      <w:r>
        <w:rPr>
          <w:rFonts w:ascii="Arial" w:hAnsi="Arial" w:cs="Arial"/>
          <w:color w:val="000000"/>
          <w:sz w:val="26"/>
          <w:szCs w:val="26"/>
        </w:rPr>
        <w:t>Ферменти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входять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до складу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лізосом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синтезуються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на мембранах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зернистої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ендоплазматичної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сітки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Відома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участь комплексу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побудові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плазматичної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мембрани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інших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мембран.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З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елементів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комплексу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головці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сперматозоїдів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утворюється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списо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або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чашоподібний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утвір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акросома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що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забезпечує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проникнення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сперматозоїда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яйцеклітину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  <w:t xml:space="preserve">*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органелу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названо на честь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італійського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hyperlink r:id="rId12" w:history="1">
        <w:proofErr w:type="spellStart"/>
        <w:r>
          <w:rPr>
            <w:rStyle w:val="a4"/>
            <w:rFonts w:ascii="Arial" w:hAnsi="Arial" w:cs="Arial"/>
            <w:b/>
            <w:bCs/>
            <w:color w:val="3366BB"/>
            <w:sz w:val="26"/>
            <w:szCs w:val="26"/>
            <w:u w:val="none"/>
          </w:rPr>
          <w:t>вченого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Каміло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1898 року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відкрив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її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нервових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клітинах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br/>
      </w:r>
      <w:r>
        <w:rPr>
          <w:rFonts w:ascii="Arial" w:hAnsi="Arial" w:cs="Arial"/>
          <w:noProof/>
          <w:color w:val="5A3696"/>
          <w:sz w:val="26"/>
          <w:szCs w:val="26"/>
        </w:rPr>
        <w:drawing>
          <wp:inline distT="0" distB="0" distL="0" distR="0">
            <wp:extent cx="3048000" cy="3457575"/>
            <wp:effectExtent l="19050" t="0" r="0" b="0"/>
            <wp:docPr id="3" name="Рисунок 3" descr="Схема утворення лізосом">
              <a:hlinkClick xmlns:a="http://schemas.openxmlformats.org/drawingml/2006/main" r:id="rId13" tooltip="&quot;Схема утворення лізос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утворення лізосом">
                      <a:hlinkClick r:id="rId13" tooltip="&quot;Схема утворення лізос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Схема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утворення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лізосом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: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1 - комплекс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Гільджі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;</w:t>
      </w:r>
      <w:r>
        <w:rPr>
          <w:rFonts w:ascii="Arial" w:hAnsi="Arial" w:cs="Arial"/>
          <w:i/>
          <w:iCs/>
          <w:color w:val="000000"/>
          <w:sz w:val="26"/>
          <w:szCs w:val="26"/>
        </w:rPr>
        <w:br/>
        <w:t xml:space="preserve">2 -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лізосоми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;</w:t>
      </w:r>
      <w:r>
        <w:rPr>
          <w:rFonts w:ascii="Arial" w:hAnsi="Arial" w:cs="Arial"/>
          <w:i/>
          <w:iCs/>
          <w:color w:val="000000"/>
          <w:sz w:val="26"/>
          <w:szCs w:val="26"/>
        </w:rPr>
        <w:br/>
        <w:t xml:space="preserve">3 - мембрана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травної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вакуолі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;</w:t>
      </w:r>
      <w:r>
        <w:rPr>
          <w:rFonts w:ascii="Arial" w:hAnsi="Arial" w:cs="Arial"/>
          <w:i/>
          <w:iCs/>
          <w:color w:val="000000"/>
          <w:sz w:val="26"/>
          <w:szCs w:val="26"/>
        </w:rPr>
        <w:br/>
        <w:t xml:space="preserve">4 -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травні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вакуолі</w:t>
      </w:r>
      <w:proofErr w:type="spellEnd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i/>
          <w:iCs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Які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функції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лізосом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?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Лізосоми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грец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лізіс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розчинення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 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пухирці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діаметром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100-180 нм,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оточені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мембраною. Вони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містять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ізноманітні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гідролітичні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ферменти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здатні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розщеплювати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інші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органічні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сполуки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білки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вуглеводи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ліпіди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тощо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забезпечуючи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процеси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внутрішньоклітинного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травлення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ізні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види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лізосом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відрізняються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особливостями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будови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Первинні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лізосоми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формуються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участю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комплексу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Зливаючись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іноцитозними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або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фагоци-тозними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пухирцями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вони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утворюють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травні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вакуолі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вторинні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лізосоми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Ще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один тип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л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ізосом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бере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участь 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перетравленні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окремих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компонентів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цілих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або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їхніх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груп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Так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знищуються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дефектні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органели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ушкоджені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мертві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зникає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хві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ст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пуголовків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тощо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Які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розрізняють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види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вакуолей?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Вакуолі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лат.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вакуус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порожній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 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порожнини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</w:t>
      </w:r>
      <w:r w:rsidRPr="00541E0F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5" w:tooltip="Строение клетки. Цитоплазма" w:history="1">
        <w:proofErr w:type="spellStart"/>
        <w:r>
          <w:rPr>
            <w:rStyle w:val="a4"/>
            <w:rFonts w:ascii="Arial" w:hAnsi="Arial" w:cs="Arial"/>
            <w:b/>
            <w:bCs/>
            <w:color w:val="5A3696"/>
            <w:sz w:val="26"/>
            <w:szCs w:val="26"/>
            <w:u w:val="none"/>
          </w:rPr>
          <w:t>цитоплазмі</w:t>
        </w:r>
        <w:proofErr w:type="spellEnd"/>
      </w:hyperlink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заповнені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ідиною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оточені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мембраною.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Розрізняють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ізні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види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вакуолей. Про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утворення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функції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травних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вакуолей ми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вже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згадували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lastRenderedPageBreak/>
        <w:t>Вакуолі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рослин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утворюються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пухирці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відокремлюються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ендоплазматичної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сітки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Др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ібні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вакуолі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зливаються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більші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можуть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займати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майже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весь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об'єм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цитоплазми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Такі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вакуолі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заповнені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клітинним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соком 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водним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розчином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органічних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неорганічних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сполук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серед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є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продукти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обміну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речовин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або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ігменти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Функції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таких вакуолей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ізноманітні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: вони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підтримують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тургор,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забезпечуючи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збереження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форми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у них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містяться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запасні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речовини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Завдяки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напівпроникності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мембрани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вакуолей через них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транспортуються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речовини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гіалоплазми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порожнину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вакуолей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навпаки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Скоротливі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вакуолі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пр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існоводних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одноклітинних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тварин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водоростей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формуються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елементів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комплексу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Вони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регулюють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внутрішньоклітинний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тиск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виводячи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надлишок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води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беруть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участь 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виведенні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деяких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розчинних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продуктів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обміну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речовин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.</w:t>
      </w:r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noProof/>
          <w:color w:val="5A3696"/>
          <w:sz w:val="26"/>
          <w:szCs w:val="26"/>
        </w:rPr>
        <w:drawing>
          <wp:inline distT="0" distB="0" distL="0" distR="0">
            <wp:extent cx="3048000" cy="3524250"/>
            <wp:effectExtent l="19050" t="0" r="0" b="0"/>
            <wp:docPr id="4" name="Рисунок 4" descr="Скоротлива вакуоля (1) у клітині інфузорії-туфельки">
              <a:hlinkClick xmlns:a="http://schemas.openxmlformats.org/drawingml/2006/main" r:id="rId16" tooltip="&quot;Скоротлива вакуоля (1) у клітині інфузорії-туфель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ротлива вакуоля (1) у клітині інфузорії-туфельки">
                      <a:hlinkClick r:id="rId16" tooltip="&quot;Скоротлива вакуоля (1) у клітині інфузорії-туфель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0F" w:rsidRP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Скоротлива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вакуоля (1) у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клітині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інфузорі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ї-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>туфельки</w:t>
      </w:r>
      <w:proofErr w:type="spellEnd"/>
    </w:p>
    <w:p w:rsidR="00541E0F" w:rsidRDefault="00F275C4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  <w:lang w:val="uk-UA"/>
        </w:rPr>
        <w:t>Д/З</w:t>
      </w:r>
      <w:r w:rsidR="00541E0F">
        <w:rPr>
          <w:rFonts w:ascii="Arial" w:hAnsi="Arial" w:cs="Arial"/>
          <w:color w:val="000000"/>
          <w:sz w:val="26"/>
          <w:szCs w:val="26"/>
        </w:rPr>
        <w:br/>
      </w:r>
      <w:r w:rsidR="00541E0F">
        <w:rPr>
          <w:rFonts w:ascii="Arial" w:hAnsi="Arial" w:cs="Arial"/>
          <w:color w:val="000000"/>
          <w:sz w:val="26"/>
          <w:szCs w:val="26"/>
        </w:rPr>
        <w:br/>
      </w:r>
      <w:proofErr w:type="spellStart"/>
      <w:r w:rsidR="00541E0F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Контрольні</w:t>
      </w:r>
      <w:proofErr w:type="spellEnd"/>
      <w:r w:rsidR="00541E0F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="00541E0F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запитання</w:t>
      </w:r>
      <w:proofErr w:type="spellEnd"/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одномембранні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органели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є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клітинах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еукарі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от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Що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спільного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відмінного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між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зернистою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та незернистою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ендоплазматичною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сіткою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3.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особливості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будови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комплексу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4.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функції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комплексу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5.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зв'язок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існує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м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іж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комплексом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ендоплазматичною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сіткою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міжлізо-сомами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комплексом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Гольджі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6.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функції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лізосом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7.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знаєте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види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вакуолей?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їхні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функції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Поміркуйте</w:t>
      </w:r>
      <w:proofErr w:type="spellEnd"/>
    </w:p>
    <w:p w:rsidR="00541E0F" w:rsidRDefault="00541E0F" w:rsidP="00541E0F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чому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полягає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просторовий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функціональний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зв'язок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між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окремими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одномембранними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органелами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?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Чому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скоротливі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вакуолі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є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клітинах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саме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пр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існоводних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одноклітинних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тварин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водоростей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>?</w:t>
      </w:r>
    </w:p>
    <w:p w:rsidR="00690A6E" w:rsidRDefault="00690A6E"/>
    <w:sectPr w:rsidR="00690A6E" w:rsidSect="0069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0F"/>
    <w:rsid w:val="00286212"/>
    <w:rsid w:val="00541E0F"/>
    <w:rsid w:val="00690A6E"/>
    <w:rsid w:val="00F2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E0F"/>
  </w:style>
  <w:style w:type="character" w:styleId="a4">
    <w:name w:val="Hyperlink"/>
    <w:basedOn w:val="a0"/>
    <w:uiPriority w:val="99"/>
    <w:semiHidden/>
    <w:unhideWhenUsed/>
    <w:rsid w:val="00541E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A%D0%BB%D1%96%D1%82%D0%B8%D0%BD%D0%BD%D1%96_%D0%BC%D0%B5%D0%BC%D0%B1%D1%80%D0%B0%D0%BD%D0%B8,_%D1%97%D1%85_%D0%B1%D1%83%D0%B4%D0%BE%D0%B2%D0%B0_%D1%82%D0%B0_%D1%84%D1%83%D0%BD%D0%BA%D1%86%D1%96%D1%97._%D0%9F%D0%BE%D0%B2%D0%BD%D1%96_%D1%83%D1%80%D0%BE%D0%BA%D0%B8" TargetMode="External"/><Relationship Id="rId13" Type="http://schemas.openxmlformats.org/officeDocument/2006/relationships/hyperlink" Target="http://school.xvatit.com/index.php?title=%D0%A4%D0%B0%D0%B9%D0%BB:%D0%9C%D0%B0%D0%BB.54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xvatit.com/vuzi/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://school.xvatit.com/index.php?title=%D0%A4%D0%B0%D0%B9%D0%BB:%D0%9C%D0%B0%D0%BB.55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A4%D0%B0%D0%B9%D0%BB:%D0%9C%D0%B0%D0%BB.52.jpg" TargetMode="External"/><Relationship Id="rId11" Type="http://schemas.openxmlformats.org/officeDocument/2006/relationships/hyperlink" Target="http://school.xvatit.com/index.php?title=%D0%A2%D0%B5%D0%BC%D0%B0_13._%D0%91%D1%83%D0%B4%D0%BE%D0%B2%D0%B0_%D0%BA%D0%BB%D1%96%D1%82%D0%B8%D0%BD%D0%B8_%D0%B5%D1%83%D0%BA%D0%B0%D1%80%D1%96%D0%BE%D1%82%D1%96%D0%B2." TargetMode="External"/><Relationship Id="rId5" Type="http://schemas.openxmlformats.org/officeDocument/2006/relationships/hyperlink" Target="http://school.xvatit.com/index.php?title=%D0%9A%D0%BB%D1%96%D1%82%D0%B8%D0%BD%D0%BD%D1%96_%D0%BC%D0%B5%D0%BC%D0%B1%D1%80%D0%B0%D0%BD%D0%B8,_%D1%97%D1%85_%D0%B1%D1%83%D0%B4%D0%BE%D0%B2%D0%B0_%D1%82%D0%B0_%D1%84%D1%83%D0%BD%D0%BA%D1%86%D1%96%D1%97._%D0%9F%D0%BE%D0%B2%D0%BD%D1%96_%D1%83%D1%80%D0%BE%D0%BA%D0%B8" TargetMode="External"/><Relationship Id="rId15" Type="http://schemas.openxmlformats.org/officeDocument/2006/relationships/hyperlink" Target="http://school.xvatit.com/index.php?title=%D0%A1%D1%82%D1%80%D0%BE%D0%B5%D0%BD%D0%B8%D0%B5_%D0%BA%D0%BB%D0%B5%D1%82%D0%BA%D0%B8._%D0%A6%D0%B8%D1%82%D0%BE%D0%BF%D0%BB%D0%B0%D0%B7%D0%BC%D0%B0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hyperlink" Target="http://school.xvatit.com/index.php?title=%D0%9E%D0%B4%D0%BD%D0%BE%D0%BC%D0%B5%D0%BC%D0%B1%D1%80%D0%B0%D0%BD%D0%BD%D1%96_%D0%BE%D1%80%D0%B3%D0%B0%D0%BD%D0%B5%D0%BB%D0%B8_%D1%86%D0%B8%D1%82%D0%BE%D0%BF%D0%BB%D0%B0%D0%B7%D0%BC%D0%B8._%D0%9F%D0%BE%D0%B2%D0%BD%D1%96_%D1%83%D1%80%D0%BE%D0%BA%D0%B8" TargetMode="External"/><Relationship Id="rId9" Type="http://schemas.openxmlformats.org/officeDocument/2006/relationships/hyperlink" Target="http://school.xvatit.com/index.php?title=%D0%A4%D0%B0%D0%B9%D0%BB:%D0%9C%D0%B0%D0%BB.53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1211</Words>
  <Characters>6908</Characters>
  <Application>Microsoft Office Word</Application>
  <DocSecurity>0</DocSecurity>
  <Lines>57</Lines>
  <Paragraphs>16</Paragraphs>
  <ScaleCrop>false</ScaleCrop>
  <Company>Krokoz™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2015-01-22T08:14:00Z</dcterms:created>
  <dcterms:modified xsi:type="dcterms:W3CDTF">2015-01-22T08:43:00Z</dcterms:modified>
</cp:coreProperties>
</file>